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5" w:type="dxa"/>
        <w:tblInd w:w="-31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587"/>
        <w:gridCol w:w="3402"/>
        <w:gridCol w:w="850"/>
        <w:gridCol w:w="6096"/>
      </w:tblGrid>
      <w:tr w:rsidR="006A3F5B" w:rsidRPr="00BC0C16" w14:paraId="416E77FB" w14:textId="77777777" w:rsidTr="0025146D">
        <w:trPr>
          <w:trHeight w:val="667"/>
        </w:trPr>
        <w:tc>
          <w:tcPr>
            <w:tcW w:w="10935" w:type="dxa"/>
            <w:gridSpan w:val="4"/>
            <w:shd w:val="clear" w:color="auto" w:fill="DDDDDD"/>
          </w:tcPr>
          <w:p w14:paraId="2A9C9D53" w14:textId="77777777" w:rsidR="006A3F5B" w:rsidRPr="0025146D" w:rsidRDefault="006A3F5B" w:rsidP="003C53AA">
            <w:pPr>
              <w:pStyle w:val="Textkrper-Zeileneinzug"/>
              <w:tabs>
                <w:tab w:val="left" w:pos="1092"/>
              </w:tabs>
              <w:spacing w:before="120" w:after="120"/>
              <w:ind w:left="0"/>
              <w:rPr>
                <w:rFonts w:ascii="Arial" w:hAnsi="Arial" w:cs="Arial"/>
                <w:b/>
                <w:bCs/>
                <w:i/>
                <w:szCs w:val="22"/>
                <w:lang w:eastAsia="en-GB"/>
              </w:rPr>
            </w:pPr>
            <w:r w:rsidRPr="0025146D">
              <w:rPr>
                <w:rFonts w:ascii="Arial" w:hAnsi="Arial" w:cs="Arial"/>
                <w:b/>
                <w:bCs/>
                <w:szCs w:val="22"/>
                <w:lang w:eastAsia="en-GB"/>
              </w:rPr>
              <w:t xml:space="preserve">Critical risks and risk management strategy </w:t>
            </w:r>
          </w:p>
          <w:p w14:paraId="554C4C19" w14:textId="77777777" w:rsidR="006A3F5B" w:rsidRPr="000A583E" w:rsidRDefault="006A3F5B" w:rsidP="003C53AA">
            <w:pPr>
              <w:tabs>
                <w:tab w:val="left" w:pos="1092"/>
              </w:tabs>
              <w:spacing w:after="60"/>
              <w:jc w:val="both"/>
              <w:rPr>
                <w:rFonts w:cs="Arial"/>
                <w:i/>
                <w:iCs/>
                <w:sz w:val="16"/>
                <w:szCs w:val="16"/>
              </w:rPr>
            </w:pPr>
            <w:r w:rsidRPr="000A583E">
              <w:rPr>
                <w:rFonts w:cs="Arial"/>
                <w:i/>
                <w:iCs/>
                <w:sz w:val="16"/>
                <w:szCs w:val="16"/>
              </w:rPr>
              <w:t xml:space="preserve">Describe critical risks, uncertainties or difficulties related to the implementation of your project, and your measures/strategy for addressing them. </w:t>
            </w:r>
          </w:p>
          <w:p w14:paraId="6B1037D7" w14:textId="77777777" w:rsidR="006A3F5B" w:rsidRDefault="006A3F5B" w:rsidP="003C53AA">
            <w:pPr>
              <w:tabs>
                <w:tab w:val="left" w:pos="1092"/>
              </w:tabs>
              <w:spacing w:after="60"/>
              <w:jc w:val="both"/>
              <w:rPr>
                <w:rFonts w:cs="Arial"/>
                <w:i/>
                <w:iCs/>
                <w:sz w:val="16"/>
                <w:szCs w:val="16"/>
              </w:rPr>
            </w:pPr>
            <w:r w:rsidRPr="000A583E">
              <w:rPr>
                <w:rFonts w:cs="Arial"/>
                <w:i/>
                <w:iCs/>
                <w:sz w:val="16"/>
                <w:szCs w:val="16"/>
              </w:rPr>
              <w:t xml:space="preserve">Indicate for each risk (in the description) </w:t>
            </w:r>
            <w:r w:rsidRPr="000A583E">
              <w:rPr>
                <w:rFonts w:cs="Arial"/>
                <w:i/>
                <w:iCs/>
                <w:noProof/>
                <w:sz w:val="16"/>
                <w:szCs w:val="16"/>
                <w:lang w:val="en-US"/>
              </w:rPr>
              <w:t xml:space="preserve">the impact and the likelihood </w:t>
            </w:r>
            <w:r w:rsidRPr="000A583E">
              <w:rPr>
                <w:rFonts w:cs="Arial"/>
                <w:i/>
                <w:iCs/>
                <w:sz w:val="16"/>
                <w:szCs w:val="16"/>
              </w:rPr>
              <w:t xml:space="preserve">that the risk will materialise (high, medium, low), even after taking </w:t>
            </w:r>
            <w:r>
              <w:rPr>
                <w:rFonts w:cs="Arial"/>
                <w:i/>
                <w:iCs/>
                <w:sz w:val="16"/>
                <w:szCs w:val="16"/>
              </w:rPr>
              <w:t xml:space="preserve">into </w:t>
            </w:r>
            <w:r w:rsidRPr="000A583E">
              <w:rPr>
                <w:rFonts w:cs="Arial"/>
                <w:i/>
                <w:iCs/>
                <w:sz w:val="16"/>
                <w:szCs w:val="16"/>
              </w:rPr>
              <w:t>account the mitigating measures</w:t>
            </w:r>
            <w:r w:rsidRPr="00F040EE">
              <w:rPr>
                <w:rFonts w:cs="Arial"/>
                <w:i/>
                <w:iCs/>
                <w:sz w:val="16"/>
                <w:szCs w:val="16"/>
              </w:rPr>
              <w:t>.</w:t>
            </w:r>
          </w:p>
          <w:p w14:paraId="683B2E5C" w14:textId="77777777" w:rsidR="006A3F5B" w:rsidRPr="008D7E82" w:rsidRDefault="006A3F5B" w:rsidP="003C53AA">
            <w:pPr>
              <w:pStyle w:val="Textkrper-Zeileneinzug"/>
              <w:tabs>
                <w:tab w:val="left" w:pos="1092"/>
              </w:tabs>
              <w:spacing w:after="120"/>
              <w:ind w:left="0"/>
              <w:rPr>
                <w:rFonts w:ascii="Arial" w:hAnsi="Arial" w:cs="Arial"/>
                <w:b/>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6A3F5B" w:rsidRPr="00BC0C16" w14:paraId="1C62F3AD"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E6E6E6"/>
          </w:tcPr>
          <w:p w14:paraId="45FDBBFD" w14:textId="77777777" w:rsidR="006A3F5B" w:rsidRPr="001E7081" w:rsidRDefault="006A3F5B" w:rsidP="003C53AA">
            <w:pPr>
              <w:tabs>
                <w:tab w:val="left" w:pos="1092"/>
              </w:tabs>
              <w:spacing w:before="120" w:after="120"/>
              <w:jc w:val="center"/>
              <w:rPr>
                <w:rFonts w:cs="Arial"/>
                <w:sz w:val="18"/>
                <w:szCs w:val="16"/>
              </w:rPr>
            </w:pPr>
            <w:r w:rsidRPr="001E7081">
              <w:rPr>
                <w:rFonts w:cs="Arial"/>
                <w:sz w:val="18"/>
                <w:szCs w:val="16"/>
              </w:rPr>
              <w:t xml:space="preserve">Risk </w:t>
            </w:r>
            <w:r>
              <w:rPr>
                <w:rFonts w:cs="Arial"/>
                <w:sz w:val="18"/>
                <w:szCs w:val="16"/>
              </w:rPr>
              <w:t>No</w:t>
            </w:r>
          </w:p>
        </w:tc>
        <w:tc>
          <w:tcPr>
            <w:tcW w:w="3402" w:type="dxa"/>
            <w:shd w:val="clear" w:color="auto" w:fill="E6E6E6"/>
          </w:tcPr>
          <w:p w14:paraId="3221B0A7" w14:textId="77777777" w:rsidR="006A3F5B" w:rsidRPr="001E7081" w:rsidRDefault="006A3F5B" w:rsidP="003C53AA">
            <w:pPr>
              <w:tabs>
                <w:tab w:val="left" w:pos="1092"/>
              </w:tabs>
              <w:spacing w:before="120" w:after="120"/>
              <w:jc w:val="center"/>
              <w:rPr>
                <w:rFonts w:cs="Arial"/>
                <w:sz w:val="18"/>
                <w:szCs w:val="16"/>
              </w:rPr>
            </w:pPr>
            <w:r>
              <w:rPr>
                <w:rFonts w:cs="Arial"/>
                <w:sz w:val="18"/>
                <w:szCs w:val="16"/>
              </w:rPr>
              <w:t>Description</w:t>
            </w:r>
          </w:p>
        </w:tc>
        <w:tc>
          <w:tcPr>
            <w:tcW w:w="850" w:type="dxa"/>
            <w:shd w:val="clear" w:color="auto" w:fill="E6E6E6"/>
          </w:tcPr>
          <w:p w14:paraId="5182C50B" w14:textId="3BAF710F" w:rsidR="006A3F5B" w:rsidRPr="001E7081" w:rsidRDefault="006A3F5B" w:rsidP="003C53AA">
            <w:pPr>
              <w:tabs>
                <w:tab w:val="left" w:pos="1092"/>
              </w:tabs>
              <w:spacing w:before="120" w:after="120"/>
              <w:jc w:val="center"/>
              <w:rPr>
                <w:rFonts w:cs="Arial"/>
                <w:sz w:val="18"/>
                <w:szCs w:val="16"/>
              </w:rPr>
            </w:pPr>
            <w:r w:rsidRPr="001E7081">
              <w:rPr>
                <w:rFonts w:cs="Arial"/>
                <w:sz w:val="18"/>
                <w:szCs w:val="16"/>
              </w:rPr>
              <w:t>Work pack</w:t>
            </w:r>
            <w:r w:rsidR="0025146D">
              <w:rPr>
                <w:rFonts w:cs="Arial"/>
                <w:sz w:val="18"/>
                <w:szCs w:val="16"/>
              </w:rPr>
              <w:t>-</w:t>
            </w:r>
            <w:r w:rsidRPr="001E7081">
              <w:rPr>
                <w:rFonts w:cs="Arial"/>
                <w:sz w:val="18"/>
                <w:szCs w:val="16"/>
              </w:rPr>
              <w:t xml:space="preserve">age </w:t>
            </w:r>
            <w:r>
              <w:rPr>
                <w:rFonts w:cs="Arial"/>
                <w:sz w:val="18"/>
                <w:szCs w:val="16"/>
              </w:rPr>
              <w:t>No</w:t>
            </w:r>
          </w:p>
        </w:tc>
        <w:tc>
          <w:tcPr>
            <w:tcW w:w="6096" w:type="dxa"/>
            <w:shd w:val="clear" w:color="auto" w:fill="E6E6E6"/>
          </w:tcPr>
          <w:p w14:paraId="20CE10B0" w14:textId="77777777" w:rsidR="006A3F5B" w:rsidRPr="001E7081" w:rsidRDefault="006A3F5B" w:rsidP="003C53AA">
            <w:pPr>
              <w:tabs>
                <w:tab w:val="left" w:pos="1092"/>
              </w:tabs>
              <w:spacing w:before="120" w:after="120"/>
              <w:jc w:val="center"/>
              <w:rPr>
                <w:rFonts w:cs="Arial"/>
                <w:sz w:val="18"/>
                <w:szCs w:val="16"/>
              </w:rPr>
            </w:pPr>
            <w:r w:rsidRPr="001E7081">
              <w:rPr>
                <w:rFonts w:cs="Arial"/>
                <w:sz w:val="18"/>
                <w:szCs w:val="16"/>
              </w:rPr>
              <w:t>Proposed risk-mitigation measures</w:t>
            </w:r>
          </w:p>
        </w:tc>
      </w:tr>
      <w:tr w:rsidR="006A3F5B" w:rsidRPr="00BC0C16" w14:paraId="3CEA3F1D"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1B2AEF1E"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1</w:t>
            </w:r>
          </w:p>
        </w:tc>
        <w:tc>
          <w:tcPr>
            <w:tcW w:w="3402" w:type="dxa"/>
            <w:shd w:val="clear" w:color="auto" w:fill="FFFFFF"/>
          </w:tcPr>
          <w:p w14:paraId="59241F60" w14:textId="77777777" w:rsidR="006A3F5B" w:rsidRPr="00917916" w:rsidRDefault="006A3F5B" w:rsidP="003C53AA">
            <w:pPr>
              <w:tabs>
                <w:tab w:val="left" w:pos="-907"/>
                <w:tab w:val="left" w:pos="-187"/>
                <w:tab w:val="left" w:pos="1092"/>
                <w:tab w:val="left" w:leader="dot" w:pos="5670"/>
              </w:tabs>
              <w:suppressAutoHyphens/>
              <w:spacing w:before="60" w:after="0"/>
              <w:jc w:val="both"/>
              <w:rPr>
                <w:rFonts w:cs="Arial"/>
                <w:color w:val="auto"/>
                <w:sz w:val="18"/>
                <w:szCs w:val="18"/>
              </w:rPr>
            </w:pPr>
            <w:r w:rsidRPr="00917916">
              <w:rPr>
                <w:rFonts w:cs="Arial"/>
                <w:color w:val="auto"/>
                <w:sz w:val="18"/>
                <w:szCs w:val="18"/>
              </w:rPr>
              <w:t>Communication issues arising from the online modality</w:t>
            </w:r>
          </w:p>
          <w:p w14:paraId="59D478AB"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low</w:t>
            </w:r>
          </w:p>
        </w:tc>
        <w:tc>
          <w:tcPr>
            <w:tcW w:w="850" w:type="dxa"/>
            <w:shd w:val="clear" w:color="auto" w:fill="FFFFFF"/>
          </w:tcPr>
          <w:p w14:paraId="47262D4F"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All</w:t>
            </w:r>
          </w:p>
        </w:tc>
        <w:tc>
          <w:tcPr>
            <w:tcW w:w="6096" w:type="dxa"/>
            <w:shd w:val="clear" w:color="auto" w:fill="FFFFFF"/>
          </w:tcPr>
          <w:p w14:paraId="1EA50CD6"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917916">
              <w:rPr>
                <w:rFonts w:cs="Arial"/>
                <w:color w:val="auto"/>
                <w:sz w:val="18"/>
                <w:szCs w:val="18"/>
              </w:rPr>
              <w:t>Planning of face-to-face meetings</w:t>
            </w:r>
          </w:p>
        </w:tc>
      </w:tr>
      <w:tr w:rsidR="006A3F5B" w:rsidRPr="00BC0C16" w14:paraId="79328D9C"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01841F6B"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2</w:t>
            </w:r>
          </w:p>
        </w:tc>
        <w:tc>
          <w:tcPr>
            <w:tcW w:w="3402" w:type="dxa"/>
            <w:shd w:val="clear" w:color="auto" w:fill="FFFFFF"/>
          </w:tcPr>
          <w:p w14:paraId="44B60438" w14:textId="77777777" w:rsidR="006A3F5B" w:rsidRPr="00917916" w:rsidRDefault="006A3F5B" w:rsidP="003C53AA">
            <w:pPr>
              <w:spacing w:before="60" w:after="0"/>
              <w:rPr>
                <w:rFonts w:cs="Arial"/>
                <w:color w:val="auto"/>
                <w:sz w:val="18"/>
                <w:szCs w:val="18"/>
              </w:rPr>
            </w:pPr>
            <w:r w:rsidRPr="00917916">
              <w:rPr>
                <w:rFonts w:cs="Arial"/>
                <w:color w:val="auto"/>
                <w:sz w:val="18"/>
                <w:szCs w:val="18"/>
              </w:rPr>
              <w:t>Non performing partner</w:t>
            </w:r>
          </w:p>
          <w:p w14:paraId="15CCA29A"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low</w:t>
            </w:r>
          </w:p>
        </w:tc>
        <w:tc>
          <w:tcPr>
            <w:tcW w:w="850" w:type="dxa"/>
            <w:shd w:val="clear" w:color="auto" w:fill="FFFFFF"/>
          </w:tcPr>
          <w:p w14:paraId="6686AD1C"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All</w:t>
            </w:r>
          </w:p>
        </w:tc>
        <w:tc>
          <w:tcPr>
            <w:tcW w:w="6096" w:type="dxa"/>
            <w:shd w:val="clear" w:color="auto" w:fill="FFFFFF"/>
          </w:tcPr>
          <w:p w14:paraId="57ABE9BB"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917916">
              <w:rPr>
                <w:rFonts w:cs="Arial"/>
                <w:color w:val="auto"/>
                <w:sz w:val="18"/>
                <w:szCs w:val="18"/>
              </w:rPr>
              <w:t xml:space="preserve">Risk Management measures according Project Manual </w:t>
            </w:r>
          </w:p>
        </w:tc>
      </w:tr>
      <w:tr w:rsidR="006A3F5B" w:rsidRPr="00BC0C16" w14:paraId="0C1171D0"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236FA258"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3</w:t>
            </w:r>
          </w:p>
        </w:tc>
        <w:tc>
          <w:tcPr>
            <w:tcW w:w="3402" w:type="dxa"/>
            <w:shd w:val="clear" w:color="auto" w:fill="FFFFFF"/>
          </w:tcPr>
          <w:p w14:paraId="0CB3C970" w14:textId="77777777" w:rsidR="006A3F5B" w:rsidRPr="00917916" w:rsidRDefault="006A3F5B" w:rsidP="003C53AA">
            <w:pPr>
              <w:spacing w:before="60" w:after="0"/>
              <w:rPr>
                <w:rFonts w:cs="Arial"/>
                <w:color w:val="auto"/>
                <w:sz w:val="18"/>
                <w:szCs w:val="18"/>
              </w:rPr>
            </w:pPr>
            <w:r w:rsidRPr="00917916">
              <w:rPr>
                <w:rFonts w:cs="Arial"/>
                <w:color w:val="auto"/>
                <w:sz w:val="18"/>
                <w:szCs w:val="18"/>
              </w:rPr>
              <w:t>Renewed risk of pandemic travel bans</w:t>
            </w:r>
          </w:p>
          <w:p w14:paraId="68437B64"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low</w:t>
            </w:r>
          </w:p>
        </w:tc>
        <w:tc>
          <w:tcPr>
            <w:tcW w:w="850" w:type="dxa"/>
            <w:shd w:val="clear" w:color="auto" w:fill="FFFFFF"/>
          </w:tcPr>
          <w:p w14:paraId="7FE1A3E2"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All</w:t>
            </w:r>
          </w:p>
        </w:tc>
        <w:tc>
          <w:tcPr>
            <w:tcW w:w="6096" w:type="dxa"/>
            <w:shd w:val="clear" w:color="auto" w:fill="FFFFFF"/>
          </w:tcPr>
          <w:p w14:paraId="0E591F46"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917916">
              <w:rPr>
                <w:rFonts w:cs="Arial"/>
                <w:color w:val="auto"/>
                <w:sz w:val="18"/>
                <w:szCs w:val="18"/>
              </w:rPr>
              <w:t>In case a new virus variant will cause a revival of reduced personal contacts and a new restriction of travel we will increase the number of virtual meetings to balance this.</w:t>
            </w:r>
          </w:p>
        </w:tc>
      </w:tr>
      <w:tr w:rsidR="006A3F5B" w:rsidRPr="00BC0C16" w14:paraId="28F6D5BB"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1447E094"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1E1A06">
              <w:rPr>
                <w:rFonts w:cs="Arial"/>
                <w:b/>
                <w:color w:val="00B050"/>
                <w:sz w:val="18"/>
                <w:szCs w:val="18"/>
              </w:rPr>
              <w:t>4</w:t>
            </w:r>
          </w:p>
        </w:tc>
        <w:tc>
          <w:tcPr>
            <w:tcW w:w="3402" w:type="dxa"/>
            <w:shd w:val="clear" w:color="auto" w:fill="FFFFFF"/>
          </w:tcPr>
          <w:p w14:paraId="247F4118" w14:textId="77777777" w:rsidR="006A3F5B" w:rsidRPr="0025146D" w:rsidRDefault="006A3F5B" w:rsidP="003C53AA">
            <w:pPr>
              <w:spacing w:before="60" w:after="0"/>
              <w:rPr>
                <w:rFonts w:cs="Arial"/>
                <w:color w:val="auto"/>
                <w:sz w:val="18"/>
                <w:szCs w:val="18"/>
              </w:rPr>
            </w:pPr>
            <w:r w:rsidRPr="0025146D">
              <w:rPr>
                <w:rFonts w:cs="Arial"/>
                <w:color w:val="auto"/>
                <w:sz w:val="18"/>
                <w:szCs w:val="18"/>
              </w:rPr>
              <w:t>Overspending budgeted resources against planned for efforts</w:t>
            </w:r>
          </w:p>
          <w:p w14:paraId="40F0F974" w14:textId="77777777" w:rsidR="006A3F5B" w:rsidRPr="0025146D" w:rsidRDefault="006A3F5B" w:rsidP="003C53AA">
            <w:pPr>
              <w:tabs>
                <w:tab w:val="left" w:pos="-907"/>
                <w:tab w:val="left" w:pos="-187"/>
                <w:tab w:val="left" w:pos="1092"/>
                <w:tab w:val="left" w:leader="dot" w:pos="5670"/>
              </w:tabs>
              <w:suppressAutoHyphens/>
              <w:spacing w:before="120" w:after="120"/>
              <w:rPr>
                <w:rFonts w:cs="Arial"/>
                <w:b/>
                <w:color w:val="auto"/>
                <w:sz w:val="18"/>
                <w:szCs w:val="16"/>
              </w:rPr>
            </w:pPr>
            <w:r w:rsidRPr="0025146D">
              <w:rPr>
                <w:rFonts w:cs="Arial"/>
                <w:b/>
                <w:bCs/>
                <w:color w:val="auto"/>
                <w:sz w:val="18"/>
                <w:szCs w:val="18"/>
              </w:rPr>
              <w:t>Risk</w:t>
            </w:r>
            <w:r w:rsidRPr="0025146D">
              <w:rPr>
                <w:rFonts w:cs="Arial"/>
                <w:color w:val="auto"/>
                <w:sz w:val="18"/>
                <w:szCs w:val="18"/>
              </w:rPr>
              <w:t>: medium</w:t>
            </w:r>
          </w:p>
        </w:tc>
        <w:tc>
          <w:tcPr>
            <w:tcW w:w="850" w:type="dxa"/>
            <w:shd w:val="clear" w:color="auto" w:fill="FFFFFF"/>
          </w:tcPr>
          <w:p w14:paraId="779EB8C5" w14:textId="77777777" w:rsidR="006A3F5B" w:rsidRPr="0025146D" w:rsidRDefault="006A3F5B" w:rsidP="003C53AA">
            <w:pPr>
              <w:tabs>
                <w:tab w:val="left" w:pos="1092"/>
              </w:tabs>
              <w:spacing w:before="120" w:after="120"/>
              <w:rPr>
                <w:rFonts w:cs="Arial"/>
                <w:b/>
                <w:color w:val="auto"/>
                <w:sz w:val="18"/>
                <w:szCs w:val="16"/>
              </w:rPr>
            </w:pPr>
            <w:r w:rsidRPr="0025146D">
              <w:rPr>
                <w:rFonts w:cs="Arial"/>
                <w:color w:val="auto"/>
                <w:sz w:val="18"/>
                <w:szCs w:val="18"/>
              </w:rPr>
              <w:t>All</w:t>
            </w:r>
          </w:p>
        </w:tc>
        <w:tc>
          <w:tcPr>
            <w:tcW w:w="6096" w:type="dxa"/>
            <w:shd w:val="clear" w:color="auto" w:fill="FFFFFF"/>
          </w:tcPr>
          <w:p w14:paraId="1F235168" w14:textId="0D320802" w:rsidR="006A3F5B" w:rsidRPr="0025146D" w:rsidRDefault="006A3F5B" w:rsidP="003C53AA">
            <w:pPr>
              <w:tabs>
                <w:tab w:val="left" w:pos="-907"/>
                <w:tab w:val="left" w:pos="-187"/>
                <w:tab w:val="left" w:pos="1092"/>
                <w:tab w:val="left" w:leader="dot" w:pos="5670"/>
              </w:tabs>
              <w:suppressAutoHyphens/>
              <w:spacing w:before="120" w:after="120"/>
              <w:rPr>
                <w:rFonts w:cs="Arial"/>
                <w:b/>
                <w:color w:val="auto"/>
                <w:sz w:val="18"/>
                <w:szCs w:val="16"/>
              </w:rPr>
            </w:pPr>
            <w:r w:rsidRPr="0025146D">
              <w:rPr>
                <w:rFonts w:cs="Arial"/>
                <w:color w:val="auto"/>
                <w:sz w:val="18"/>
                <w:szCs w:val="18"/>
              </w:rPr>
              <w:t xml:space="preserve">In case a given task has been budgeted with too low resources, then it is up to the Task responsible and involved partners to solve this issue with their own company resources since each partner was involved in the project design and budget calculation at the proposal stage. If the changes causing this issue were unforeseen and due to outside impacts that the consortium could not influence, then the partners will </w:t>
            </w:r>
            <w:r w:rsidR="0025146D">
              <w:rPr>
                <w:rFonts w:cs="Arial"/>
                <w:color w:val="auto"/>
                <w:sz w:val="18"/>
                <w:szCs w:val="18"/>
              </w:rPr>
              <w:t xml:space="preserve">jointly </w:t>
            </w:r>
            <w:r w:rsidRPr="0025146D">
              <w:rPr>
                <w:rFonts w:cs="Arial"/>
                <w:color w:val="auto"/>
                <w:sz w:val="18"/>
                <w:szCs w:val="18"/>
              </w:rPr>
              <w:t>suggest an alternative approach that stays with the budget and discuss it with the funding office.</w:t>
            </w:r>
          </w:p>
        </w:tc>
      </w:tr>
      <w:tr w:rsidR="006A3F5B" w:rsidRPr="00BC0C16" w14:paraId="5655B590"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20721D55"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5</w:t>
            </w:r>
          </w:p>
        </w:tc>
        <w:tc>
          <w:tcPr>
            <w:tcW w:w="3402" w:type="dxa"/>
            <w:shd w:val="clear" w:color="auto" w:fill="FFFFFF"/>
          </w:tcPr>
          <w:p w14:paraId="54DC1AC6" w14:textId="77777777" w:rsidR="006A3F5B" w:rsidRPr="00917916" w:rsidRDefault="006A3F5B" w:rsidP="003C53AA">
            <w:pPr>
              <w:spacing w:before="60" w:after="0"/>
              <w:rPr>
                <w:rFonts w:cs="Arial"/>
                <w:color w:val="auto"/>
                <w:sz w:val="18"/>
                <w:szCs w:val="18"/>
              </w:rPr>
            </w:pPr>
            <w:r w:rsidRPr="00917916">
              <w:rPr>
                <w:rFonts w:cs="Arial"/>
                <w:color w:val="auto"/>
                <w:sz w:val="18"/>
                <w:szCs w:val="18"/>
              </w:rPr>
              <w:t>Partner not delivering timesheets and progress summaries on time</w:t>
            </w:r>
          </w:p>
          <w:p w14:paraId="1AFBF00E"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low</w:t>
            </w:r>
          </w:p>
        </w:tc>
        <w:tc>
          <w:tcPr>
            <w:tcW w:w="850" w:type="dxa"/>
            <w:shd w:val="clear" w:color="auto" w:fill="FFFFFF"/>
          </w:tcPr>
          <w:p w14:paraId="4E34FF8F"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WP1</w:t>
            </w:r>
          </w:p>
        </w:tc>
        <w:tc>
          <w:tcPr>
            <w:tcW w:w="6096" w:type="dxa"/>
            <w:shd w:val="clear" w:color="auto" w:fill="FFFFFF"/>
          </w:tcPr>
          <w:p w14:paraId="623CECCF"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917916">
              <w:rPr>
                <w:rFonts w:cs="Arial"/>
                <w:color w:val="auto"/>
                <w:sz w:val="18"/>
                <w:szCs w:val="18"/>
              </w:rPr>
              <w:t xml:space="preserve">Fixed time lies to ensure delivery is continually monitored </w:t>
            </w:r>
          </w:p>
        </w:tc>
      </w:tr>
      <w:tr w:rsidR="006A3F5B" w:rsidRPr="00BC0C16" w14:paraId="447B1A01"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31233286"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6</w:t>
            </w:r>
          </w:p>
        </w:tc>
        <w:tc>
          <w:tcPr>
            <w:tcW w:w="3402" w:type="dxa"/>
            <w:shd w:val="clear" w:color="auto" w:fill="FFFFFF"/>
          </w:tcPr>
          <w:p w14:paraId="2E561706" w14:textId="77777777" w:rsidR="006A3F5B" w:rsidRPr="00917916" w:rsidRDefault="006A3F5B" w:rsidP="003C53AA">
            <w:pPr>
              <w:tabs>
                <w:tab w:val="left" w:pos="-907"/>
                <w:tab w:val="left" w:pos="-187"/>
                <w:tab w:val="left" w:pos="1092"/>
                <w:tab w:val="left" w:leader="dot" w:pos="5670"/>
              </w:tabs>
              <w:suppressAutoHyphens/>
              <w:spacing w:before="60" w:after="0"/>
              <w:jc w:val="both"/>
              <w:rPr>
                <w:rFonts w:cs="Arial"/>
                <w:color w:val="auto"/>
                <w:sz w:val="18"/>
                <w:szCs w:val="18"/>
              </w:rPr>
            </w:pPr>
            <w:r w:rsidRPr="00917916">
              <w:rPr>
                <w:rFonts w:cs="Arial"/>
                <w:color w:val="auto"/>
                <w:sz w:val="18"/>
                <w:szCs w:val="18"/>
              </w:rPr>
              <w:t>Delays in linking up the project relevant platforms of the national, European and international network</w:t>
            </w:r>
          </w:p>
          <w:p w14:paraId="37BDFA93"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medium</w:t>
            </w:r>
          </w:p>
        </w:tc>
        <w:tc>
          <w:tcPr>
            <w:tcW w:w="850" w:type="dxa"/>
            <w:shd w:val="clear" w:color="auto" w:fill="FFFFFF"/>
          </w:tcPr>
          <w:p w14:paraId="0E42B87D"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WP2</w:t>
            </w:r>
          </w:p>
        </w:tc>
        <w:tc>
          <w:tcPr>
            <w:tcW w:w="6096" w:type="dxa"/>
            <w:shd w:val="clear" w:color="auto" w:fill="FFFFFF"/>
          </w:tcPr>
          <w:p w14:paraId="30AC5A25" w14:textId="77777777" w:rsidR="006A3F5B" w:rsidRPr="00917916" w:rsidRDefault="006A3F5B" w:rsidP="003C53AA">
            <w:pPr>
              <w:spacing w:before="60" w:after="0"/>
              <w:rPr>
                <w:rFonts w:cs="Arial"/>
                <w:color w:val="auto"/>
                <w:sz w:val="18"/>
                <w:szCs w:val="18"/>
              </w:rPr>
            </w:pPr>
            <w:r w:rsidRPr="00917916">
              <w:rPr>
                <w:rFonts w:cs="Arial"/>
                <w:color w:val="auto"/>
                <w:sz w:val="18"/>
                <w:szCs w:val="18"/>
              </w:rPr>
              <w:t>Definition of common approach right from project start</w:t>
            </w:r>
          </w:p>
          <w:p w14:paraId="5F0B02E6"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p>
        </w:tc>
      </w:tr>
      <w:tr w:rsidR="006A3F5B" w:rsidRPr="00BC0C16" w14:paraId="6BA9DCFD"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41A17A25"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7</w:t>
            </w:r>
          </w:p>
        </w:tc>
        <w:tc>
          <w:tcPr>
            <w:tcW w:w="3402" w:type="dxa"/>
            <w:shd w:val="clear" w:color="auto" w:fill="FFFFFF"/>
          </w:tcPr>
          <w:p w14:paraId="6AD7B8DA" w14:textId="77777777" w:rsidR="006A3F5B" w:rsidRPr="00917916" w:rsidRDefault="006A3F5B" w:rsidP="003C53AA">
            <w:pPr>
              <w:tabs>
                <w:tab w:val="left" w:pos="-907"/>
                <w:tab w:val="left" w:pos="-187"/>
                <w:tab w:val="left" w:pos="1092"/>
                <w:tab w:val="left" w:leader="dot" w:pos="5670"/>
              </w:tabs>
              <w:suppressAutoHyphens/>
              <w:spacing w:before="60" w:after="0"/>
              <w:jc w:val="both"/>
              <w:rPr>
                <w:rFonts w:cs="Arial"/>
                <w:color w:val="auto"/>
                <w:sz w:val="18"/>
                <w:szCs w:val="18"/>
              </w:rPr>
            </w:pPr>
            <w:r w:rsidRPr="00917916">
              <w:rPr>
                <w:rFonts w:cs="Arial"/>
                <w:color w:val="auto"/>
                <w:sz w:val="18"/>
                <w:szCs w:val="18"/>
              </w:rPr>
              <w:t xml:space="preserve">Papers delivered to academic journals will not becoming publishes before the end of the project. </w:t>
            </w:r>
          </w:p>
          <w:p w14:paraId="70DB741C"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medium</w:t>
            </w:r>
          </w:p>
        </w:tc>
        <w:tc>
          <w:tcPr>
            <w:tcW w:w="850" w:type="dxa"/>
            <w:shd w:val="clear" w:color="auto" w:fill="FFFFFF"/>
          </w:tcPr>
          <w:p w14:paraId="2E024C2F"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WP2</w:t>
            </w:r>
          </w:p>
        </w:tc>
        <w:tc>
          <w:tcPr>
            <w:tcW w:w="6096" w:type="dxa"/>
            <w:shd w:val="clear" w:color="auto" w:fill="FFFFFF"/>
          </w:tcPr>
          <w:p w14:paraId="29318436"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917916">
              <w:rPr>
                <w:rFonts w:cs="Arial"/>
                <w:color w:val="auto"/>
                <w:sz w:val="18"/>
                <w:szCs w:val="18"/>
              </w:rPr>
              <w:t>In that case we will accept a formal statement of the editor or publisher’s office of having the paper accepted as prove of successful submission.</w:t>
            </w:r>
          </w:p>
        </w:tc>
      </w:tr>
      <w:tr w:rsidR="006A3F5B" w:rsidRPr="00BC0C16" w14:paraId="6166D6CA"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6E8FB9C9" w14:textId="77777777" w:rsidR="006A3F5B" w:rsidRPr="001E7081" w:rsidRDefault="006A3F5B" w:rsidP="0025146D">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8</w:t>
            </w:r>
          </w:p>
        </w:tc>
        <w:tc>
          <w:tcPr>
            <w:tcW w:w="3402" w:type="dxa"/>
            <w:shd w:val="clear" w:color="auto" w:fill="FFFFFF"/>
          </w:tcPr>
          <w:p w14:paraId="1AD7592B" w14:textId="77777777" w:rsidR="006A3F5B" w:rsidRPr="00917916" w:rsidRDefault="006A3F5B" w:rsidP="003C53AA">
            <w:pPr>
              <w:tabs>
                <w:tab w:val="left" w:pos="-907"/>
                <w:tab w:val="left" w:pos="-187"/>
                <w:tab w:val="left" w:pos="1092"/>
                <w:tab w:val="left" w:leader="dot" w:pos="5670"/>
              </w:tabs>
              <w:suppressAutoHyphens/>
              <w:spacing w:before="60" w:after="0"/>
              <w:jc w:val="both"/>
              <w:rPr>
                <w:rFonts w:cs="Arial"/>
                <w:color w:val="auto"/>
                <w:sz w:val="18"/>
                <w:szCs w:val="18"/>
              </w:rPr>
            </w:pPr>
            <w:r w:rsidRPr="00917916">
              <w:rPr>
                <w:rFonts w:cs="Arial"/>
                <w:color w:val="auto"/>
                <w:sz w:val="18"/>
                <w:szCs w:val="18"/>
              </w:rPr>
              <w:t>The project is not receiving enough feedback from the survey and interviews to reach statistically significant numbers.</w:t>
            </w:r>
          </w:p>
          <w:p w14:paraId="528497EB"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25146D">
              <w:rPr>
                <w:rFonts w:cs="Arial"/>
                <w:b/>
                <w:bCs/>
                <w:color w:val="auto"/>
                <w:sz w:val="18"/>
                <w:szCs w:val="18"/>
              </w:rPr>
              <w:t>Risk:</w:t>
            </w:r>
            <w:r w:rsidRPr="00917916">
              <w:rPr>
                <w:rFonts w:cs="Arial"/>
                <w:color w:val="auto"/>
                <w:sz w:val="18"/>
                <w:szCs w:val="18"/>
              </w:rPr>
              <w:t xml:space="preserve"> low</w:t>
            </w:r>
          </w:p>
        </w:tc>
        <w:tc>
          <w:tcPr>
            <w:tcW w:w="850" w:type="dxa"/>
            <w:shd w:val="clear" w:color="auto" w:fill="FFFFFF"/>
          </w:tcPr>
          <w:p w14:paraId="43C4EF48" w14:textId="77777777" w:rsidR="006A3F5B" w:rsidRPr="001E7081" w:rsidRDefault="006A3F5B" w:rsidP="003C53AA">
            <w:pPr>
              <w:tabs>
                <w:tab w:val="left" w:pos="1092"/>
              </w:tabs>
              <w:spacing w:before="120" w:after="120"/>
              <w:rPr>
                <w:rFonts w:cs="Arial"/>
                <w:b/>
                <w:sz w:val="18"/>
                <w:szCs w:val="16"/>
              </w:rPr>
            </w:pPr>
            <w:r w:rsidRPr="00917916">
              <w:rPr>
                <w:rFonts w:cs="Arial"/>
                <w:color w:val="auto"/>
                <w:sz w:val="18"/>
                <w:szCs w:val="18"/>
              </w:rPr>
              <w:t>WP3</w:t>
            </w:r>
          </w:p>
        </w:tc>
        <w:tc>
          <w:tcPr>
            <w:tcW w:w="6096" w:type="dxa"/>
            <w:shd w:val="clear" w:color="auto" w:fill="FFFFFF"/>
          </w:tcPr>
          <w:p w14:paraId="751C7FFC" w14:textId="77777777"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r w:rsidRPr="00917916">
              <w:rPr>
                <w:rFonts w:cs="Arial"/>
                <w:color w:val="auto"/>
                <w:sz w:val="18"/>
                <w:szCs w:val="18"/>
              </w:rPr>
              <w:t>Activating potential multipliers to spread the survey as early as possible and not only after the questionnaires have reached final approvement by both partners and relevant ethics committees.</w:t>
            </w:r>
          </w:p>
        </w:tc>
      </w:tr>
      <w:tr w:rsidR="006A3F5B" w:rsidRPr="00BC0C16" w14:paraId="42ED7FAC"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414AE11E" w14:textId="77777777" w:rsidR="006A3F5B" w:rsidRPr="001E7081" w:rsidRDefault="006A3F5B" w:rsidP="0025146D">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9</w:t>
            </w:r>
          </w:p>
        </w:tc>
        <w:tc>
          <w:tcPr>
            <w:tcW w:w="3402" w:type="dxa"/>
            <w:shd w:val="clear" w:color="auto" w:fill="FFFFFF"/>
          </w:tcPr>
          <w:p w14:paraId="6FC3D5F1" w14:textId="676A73DB" w:rsidR="006A3F5B" w:rsidRPr="001E7081" w:rsidRDefault="0025146D" w:rsidP="003C53AA">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w:t>
            </w:r>
          </w:p>
        </w:tc>
        <w:tc>
          <w:tcPr>
            <w:tcW w:w="850" w:type="dxa"/>
            <w:shd w:val="clear" w:color="auto" w:fill="FFFFFF"/>
          </w:tcPr>
          <w:p w14:paraId="46F36055" w14:textId="22FB7FA7" w:rsidR="006A3F5B" w:rsidRPr="001E7081" w:rsidRDefault="0025146D" w:rsidP="003C53AA">
            <w:pPr>
              <w:tabs>
                <w:tab w:val="left" w:pos="1092"/>
              </w:tabs>
              <w:spacing w:before="120" w:after="120"/>
              <w:rPr>
                <w:rFonts w:cs="Arial"/>
                <w:b/>
                <w:sz w:val="18"/>
                <w:szCs w:val="16"/>
              </w:rPr>
            </w:pPr>
            <w:r>
              <w:rPr>
                <w:rFonts w:cs="Arial"/>
                <w:b/>
                <w:sz w:val="18"/>
                <w:szCs w:val="16"/>
              </w:rPr>
              <w:t>…</w:t>
            </w:r>
          </w:p>
        </w:tc>
        <w:tc>
          <w:tcPr>
            <w:tcW w:w="6096" w:type="dxa"/>
            <w:shd w:val="clear" w:color="auto" w:fill="FFFFFF"/>
          </w:tcPr>
          <w:p w14:paraId="01C3785F" w14:textId="2152503F" w:rsidR="006A3F5B" w:rsidRPr="001E7081" w:rsidRDefault="0025146D" w:rsidP="003C53AA">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w:t>
            </w:r>
          </w:p>
        </w:tc>
      </w:tr>
      <w:tr w:rsidR="006A3F5B" w:rsidRPr="00BC0C16" w14:paraId="0AD6D53E" w14:textId="77777777" w:rsidTr="0025146D">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587" w:type="dxa"/>
            <w:shd w:val="clear" w:color="auto" w:fill="FFFFFF"/>
          </w:tcPr>
          <w:p w14:paraId="2C47B4F1" w14:textId="77777777" w:rsidR="006A3F5B" w:rsidRPr="001E7081" w:rsidRDefault="006A3F5B" w:rsidP="003C53AA">
            <w:pPr>
              <w:tabs>
                <w:tab w:val="left" w:pos="-907"/>
                <w:tab w:val="left" w:pos="-187"/>
                <w:tab w:val="left" w:pos="1092"/>
                <w:tab w:val="left" w:leader="dot" w:pos="5670"/>
              </w:tabs>
              <w:suppressAutoHyphens/>
              <w:spacing w:before="120" w:after="120"/>
              <w:jc w:val="center"/>
              <w:rPr>
                <w:rFonts w:cs="Arial"/>
                <w:b/>
                <w:sz w:val="18"/>
                <w:szCs w:val="16"/>
              </w:rPr>
            </w:pPr>
            <w:r w:rsidRPr="00917916">
              <w:rPr>
                <w:rFonts w:cs="Arial"/>
                <w:b/>
                <w:color w:val="auto"/>
                <w:sz w:val="18"/>
                <w:szCs w:val="18"/>
              </w:rPr>
              <w:t>10</w:t>
            </w:r>
          </w:p>
        </w:tc>
        <w:tc>
          <w:tcPr>
            <w:tcW w:w="3402" w:type="dxa"/>
            <w:shd w:val="clear" w:color="auto" w:fill="FFFFFF"/>
          </w:tcPr>
          <w:p w14:paraId="55F548A8" w14:textId="2E98F8BC" w:rsidR="006A3F5B" w:rsidRPr="001E7081" w:rsidRDefault="0025146D" w:rsidP="003C53AA">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w:t>
            </w:r>
          </w:p>
        </w:tc>
        <w:tc>
          <w:tcPr>
            <w:tcW w:w="850" w:type="dxa"/>
            <w:shd w:val="clear" w:color="auto" w:fill="FFFFFF"/>
          </w:tcPr>
          <w:p w14:paraId="3DF13D55" w14:textId="41272E83" w:rsidR="006A3F5B" w:rsidRPr="001E7081" w:rsidRDefault="006A3F5B" w:rsidP="003C53AA">
            <w:pPr>
              <w:tabs>
                <w:tab w:val="left" w:pos="1092"/>
              </w:tabs>
              <w:spacing w:before="120" w:after="120"/>
              <w:rPr>
                <w:rFonts w:cs="Arial"/>
                <w:b/>
                <w:sz w:val="18"/>
                <w:szCs w:val="16"/>
              </w:rPr>
            </w:pPr>
          </w:p>
        </w:tc>
        <w:tc>
          <w:tcPr>
            <w:tcW w:w="6096" w:type="dxa"/>
            <w:shd w:val="clear" w:color="auto" w:fill="FFFFFF"/>
          </w:tcPr>
          <w:p w14:paraId="7E43D1DC" w14:textId="01EB7654" w:rsidR="006A3F5B" w:rsidRPr="001E7081" w:rsidRDefault="006A3F5B" w:rsidP="003C53AA">
            <w:pPr>
              <w:tabs>
                <w:tab w:val="left" w:pos="-907"/>
                <w:tab w:val="left" w:pos="-187"/>
                <w:tab w:val="left" w:pos="1092"/>
                <w:tab w:val="left" w:leader="dot" w:pos="5670"/>
              </w:tabs>
              <w:suppressAutoHyphens/>
              <w:spacing w:before="120" w:after="120"/>
              <w:rPr>
                <w:rFonts w:cs="Arial"/>
                <w:b/>
                <w:sz w:val="18"/>
                <w:szCs w:val="16"/>
              </w:rPr>
            </w:pPr>
          </w:p>
        </w:tc>
      </w:tr>
    </w:tbl>
    <w:p w14:paraId="73BABC6C" w14:textId="77777777" w:rsidR="00367DE3" w:rsidRDefault="00367DE3"/>
    <w:sectPr w:rsidR="00367DE3" w:rsidSect="002514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5B"/>
    <w:rsid w:val="0025146D"/>
    <w:rsid w:val="00367DE3"/>
    <w:rsid w:val="006A3F5B"/>
    <w:rsid w:val="00A051DE"/>
    <w:rsid w:val="00C00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8A0C"/>
  <w15:chartTrackingRefBased/>
  <w15:docId w15:val="{1B8B7D5D-E4AC-444C-9B4C-EF9E2011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3F5B"/>
    <w:pPr>
      <w:spacing w:after="200" w:line="240" w:lineRule="auto"/>
    </w:pPr>
    <w:rPr>
      <w:rFonts w:ascii="Arial" w:eastAsia="Times New Roman" w:hAnsi="Arial" w:cs="Times New Roman"/>
      <w:color w:val="595959"/>
      <w:kern w:val="0"/>
      <w:sz w:val="20"/>
      <w:szCs w:val="24"/>
      <w:lang w:val="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uiPriority w:val="99"/>
    <w:rsid w:val="006A3F5B"/>
    <w:pPr>
      <w:ind w:left="-360"/>
      <w:jc w:val="both"/>
    </w:pPr>
    <w:rPr>
      <w:rFonts w:ascii="Times New Roman" w:hAnsi="Times New Roman"/>
      <w:noProof/>
      <w:sz w:val="22"/>
      <w:lang w:val="en-US"/>
    </w:rPr>
  </w:style>
  <w:style w:type="character" w:customStyle="1" w:styleId="Textkrper-ZeileneinzugZchn">
    <w:name w:val="Textkörper-Zeileneinzug Zchn"/>
    <w:basedOn w:val="Absatz-Standardschriftart"/>
    <w:link w:val="Textkrper-Zeileneinzug"/>
    <w:uiPriority w:val="99"/>
    <w:rsid w:val="006A3F5B"/>
    <w:rPr>
      <w:rFonts w:ascii="Times New Roman" w:eastAsia="Times New Roman" w:hAnsi="Times New Roman" w:cs="Times New Roman"/>
      <w:noProof/>
      <w:color w:val="595959"/>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2313</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C.-Andreas Dalluege</dc:creator>
  <cp:keywords/>
  <dc:description/>
  <cp:lastModifiedBy>C.-Andreas Dalluege</cp:lastModifiedBy>
  <cp:revision>2</cp:revision>
  <dcterms:created xsi:type="dcterms:W3CDTF">2024-12-15T12:02:00Z</dcterms:created>
  <dcterms:modified xsi:type="dcterms:W3CDTF">2024-12-15T12:06:00Z</dcterms:modified>
</cp:coreProperties>
</file>